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EA" w:rsidRDefault="00BE38EA" w:rsidP="00BE38EA">
      <w:pPr>
        <w:spacing w:line="240" w:lineRule="exact"/>
        <w:ind w:left="4820" w:firstLine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Главному редактору «Ленские Зори» </w:t>
      </w:r>
    </w:p>
    <w:p w:rsidR="00BE38EA" w:rsidRDefault="00BE38EA" w:rsidP="00BE38EA">
      <w:pPr>
        <w:spacing w:line="240" w:lineRule="exact"/>
        <w:ind w:left="4820"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spacing w:line="240" w:lineRule="exact"/>
        <w:ind w:left="4820" w:firstLine="0"/>
        <w:jc w:val="both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Норко</w:t>
      </w:r>
      <w:proofErr w:type="spellEnd"/>
      <w:r>
        <w:rPr>
          <w:rFonts w:eastAsiaTheme="minorHAnsi"/>
          <w:szCs w:val="28"/>
          <w:lang w:eastAsia="en-US"/>
        </w:rPr>
        <w:t xml:space="preserve"> В.Г.</w:t>
      </w:r>
    </w:p>
    <w:p w:rsidR="00BE38EA" w:rsidRDefault="00BE38EA" w:rsidP="00BE38EA">
      <w:pPr>
        <w:spacing w:line="240" w:lineRule="exact"/>
        <w:ind w:left="4820"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spacing w:line="240" w:lineRule="exact"/>
        <w:ind w:left="4820"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spacing w:after="200" w:line="240" w:lineRule="exact"/>
        <w:ind w:left="482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Мэру Киренского муниципального района </w:t>
      </w:r>
    </w:p>
    <w:p w:rsidR="00BE38EA" w:rsidRDefault="00BE38EA" w:rsidP="00BE38EA">
      <w:pPr>
        <w:spacing w:line="240" w:lineRule="exact"/>
        <w:ind w:left="4820" w:firstLine="0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 xml:space="preserve">Главам Киренского, Алексеевского, </w:t>
      </w:r>
      <w:proofErr w:type="spellStart"/>
      <w:r>
        <w:rPr>
          <w:rFonts w:eastAsia="Calibri" w:cs="Times New Roman"/>
          <w:szCs w:val="28"/>
          <w:lang w:eastAsia="en-US"/>
        </w:rPr>
        <w:t>Макаровского</w:t>
      </w:r>
      <w:proofErr w:type="spellEnd"/>
      <w:r>
        <w:rPr>
          <w:rFonts w:eastAsia="Calibri" w:cs="Times New Roman"/>
          <w:szCs w:val="28"/>
          <w:lang w:eastAsia="en-US"/>
        </w:rPr>
        <w:t xml:space="preserve">, </w:t>
      </w:r>
      <w:proofErr w:type="spellStart"/>
      <w:r>
        <w:rPr>
          <w:rFonts w:eastAsia="Calibri" w:cs="Times New Roman"/>
          <w:szCs w:val="28"/>
          <w:lang w:eastAsia="en-US"/>
        </w:rPr>
        <w:t>Алымовского</w:t>
      </w:r>
      <w:proofErr w:type="spellEnd"/>
      <w:r>
        <w:rPr>
          <w:rFonts w:eastAsia="Calibri" w:cs="Times New Roman"/>
          <w:szCs w:val="28"/>
          <w:lang w:eastAsia="en-US"/>
        </w:rPr>
        <w:t xml:space="preserve">, </w:t>
      </w:r>
      <w:proofErr w:type="spellStart"/>
      <w:r>
        <w:rPr>
          <w:rFonts w:eastAsia="Calibri" w:cs="Times New Roman"/>
          <w:szCs w:val="28"/>
          <w:lang w:eastAsia="en-US"/>
        </w:rPr>
        <w:t>Криволукского</w:t>
      </w:r>
      <w:proofErr w:type="spellEnd"/>
      <w:r>
        <w:rPr>
          <w:rFonts w:eastAsia="Calibri" w:cs="Times New Roman"/>
          <w:szCs w:val="28"/>
          <w:lang w:eastAsia="en-US"/>
        </w:rPr>
        <w:t xml:space="preserve">, </w:t>
      </w:r>
      <w:proofErr w:type="spellStart"/>
      <w:r>
        <w:rPr>
          <w:rFonts w:eastAsia="Calibri" w:cs="Times New Roman"/>
          <w:szCs w:val="28"/>
          <w:lang w:eastAsia="en-US"/>
        </w:rPr>
        <w:t>Юбилейнинского</w:t>
      </w:r>
      <w:proofErr w:type="spellEnd"/>
      <w:r>
        <w:rPr>
          <w:rFonts w:eastAsia="Calibri" w:cs="Times New Roman"/>
          <w:szCs w:val="28"/>
          <w:lang w:eastAsia="en-US"/>
        </w:rPr>
        <w:t xml:space="preserve">, </w:t>
      </w:r>
      <w:proofErr w:type="spellStart"/>
      <w:r>
        <w:rPr>
          <w:rFonts w:eastAsia="Calibri" w:cs="Times New Roman"/>
          <w:szCs w:val="28"/>
          <w:lang w:eastAsia="en-US"/>
        </w:rPr>
        <w:t>Коршуновского</w:t>
      </w:r>
      <w:proofErr w:type="spellEnd"/>
      <w:r>
        <w:rPr>
          <w:rFonts w:eastAsia="Calibri" w:cs="Times New Roman"/>
          <w:szCs w:val="28"/>
          <w:lang w:eastAsia="en-US"/>
        </w:rPr>
        <w:t xml:space="preserve">, </w:t>
      </w:r>
      <w:proofErr w:type="spellStart"/>
      <w:r>
        <w:rPr>
          <w:rFonts w:eastAsia="Calibri" w:cs="Times New Roman"/>
          <w:szCs w:val="28"/>
          <w:lang w:eastAsia="en-US"/>
        </w:rPr>
        <w:t>Небельского</w:t>
      </w:r>
      <w:proofErr w:type="spellEnd"/>
      <w:r>
        <w:rPr>
          <w:rFonts w:eastAsia="Calibri" w:cs="Times New Roman"/>
          <w:szCs w:val="28"/>
          <w:lang w:eastAsia="en-US"/>
        </w:rPr>
        <w:t xml:space="preserve">, Петропавловского </w:t>
      </w:r>
    </w:p>
    <w:p w:rsidR="00BE38EA" w:rsidRDefault="00BE38EA" w:rsidP="00BE38EA">
      <w:pPr>
        <w:spacing w:line="240" w:lineRule="exact"/>
        <w:ind w:left="4820" w:firstLine="0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муниципальных образований</w:t>
      </w:r>
    </w:p>
    <w:p w:rsidR="00BE38EA" w:rsidRDefault="00BE38EA" w:rsidP="00BE38EA">
      <w:pPr>
        <w:spacing w:line="240" w:lineRule="exact"/>
        <w:ind w:left="4678" w:firstLine="0"/>
        <w:jc w:val="both"/>
        <w:rPr>
          <w:rFonts w:eastAsia="Calibri" w:cs="Times New Roman"/>
          <w:szCs w:val="28"/>
          <w:lang w:eastAsia="en-US"/>
        </w:rPr>
      </w:pPr>
    </w:p>
    <w:p w:rsidR="00BE38EA" w:rsidRDefault="00BE38EA" w:rsidP="00BE38EA">
      <w:pPr>
        <w:spacing w:line="240" w:lineRule="exact"/>
        <w:ind w:left="4820"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spacing w:line="240" w:lineRule="exact"/>
        <w:ind w:left="4820"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spacing w:line="240" w:lineRule="exact"/>
        <w:ind w:left="4820" w:firstLine="0"/>
        <w:jc w:val="both"/>
        <w:rPr>
          <w:rFonts w:eastAsiaTheme="minorHAnsi"/>
          <w:szCs w:val="28"/>
          <w:lang w:eastAsia="en-US"/>
        </w:rPr>
      </w:pPr>
    </w:p>
    <w:p w:rsidR="00BE38EA" w:rsidRDefault="00D735A0" w:rsidP="00BE38EA">
      <w:pPr>
        <w:ind w:firstLine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22</w:t>
      </w:r>
      <w:r w:rsidR="00BE38EA">
        <w:rPr>
          <w:rFonts w:eastAsiaTheme="minorHAnsi"/>
          <w:szCs w:val="28"/>
          <w:lang w:eastAsia="en-US"/>
        </w:rPr>
        <w:t>.06.2021   01-17-2022</w:t>
      </w:r>
    </w:p>
    <w:p w:rsidR="00BE38EA" w:rsidRDefault="00BE38EA" w:rsidP="00BE38EA">
      <w:pPr>
        <w:ind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tabs>
          <w:tab w:val="left" w:pos="5322"/>
        </w:tabs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Направляется для опубликования статья о </w:t>
      </w:r>
      <w:r w:rsidR="00B42B88">
        <w:rPr>
          <w:rFonts w:eastAsiaTheme="minorHAnsi"/>
          <w:szCs w:val="28"/>
          <w:lang w:eastAsia="en-US"/>
        </w:rPr>
        <w:t>Р</w:t>
      </w:r>
      <w:r>
        <w:rPr>
          <w:rFonts w:eastAsiaTheme="minorHAnsi"/>
          <w:szCs w:val="28"/>
          <w:lang w:eastAsia="en-US"/>
        </w:rPr>
        <w:t>азъяснение законодательства о мерах экономической</w:t>
      </w:r>
      <w:r w:rsidRPr="00BE38EA">
        <w:rPr>
          <w:rFonts w:eastAsiaTheme="minorHAnsi"/>
          <w:szCs w:val="28"/>
          <w:lang w:eastAsia="en-US"/>
        </w:rPr>
        <w:t xml:space="preserve"> поддержка биз</w:t>
      </w:r>
      <w:r>
        <w:rPr>
          <w:rFonts w:eastAsiaTheme="minorHAnsi"/>
          <w:szCs w:val="28"/>
          <w:lang w:eastAsia="en-US"/>
        </w:rPr>
        <w:t xml:space="preserve">неса в Иркутской области. </w:t>
      </w:r>
      <w:proofErr w:type="gramEnd"/>
    </w:p>
    <w:p w:rsidR="00BE38EA" w:rsidRDefault="00BE38EA" w:rsidP="00BE38EA">
      <w:pPr>
        <w:tabs>
          <w:tab w:val="left" w:pos="5322"/>
        </w:tabs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После публикации прошу предоставить подтверждающие сведения. </w:t>
      </w:r>
    </w:p>
    <w:p w:rsidR="00BE38EA" w:rsidRDefault="00BE38EA" w:rsidP="00BE38EA">
      <w:pPr>
        <w:tabs>
          <w:tab w:val="left" w:pos="5322"/>
        </w:tabs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tabs>
          <w:tab w:val="left" w:pos="5322"/>
        </w:tabs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spacing w:line="240" w:lineRule="exact"/>
        <w:ind w:firstLine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Приложение: на 2л. </w:t>
      </w:r>
    </w:p>
    <w:p w:rsidR="00BE38EA" w:rsidRDefault="00BE38EA" w:rsidP="00BE38EA">
      <w:pPr>
        <w:spacing w:line="240" w:lineRule="exact"/>
        <w:ind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spacing w:line="240" w:lineRule="exact"/>
        <w:ind w:firstLine="0"/>
        <w:jc w:val="both"/>
        <w:rPr>
          <w:rFonts w:eastAsiaTheme="minorHAnsi"/>
          <w:szCs w:val="28"/>
          <w:lang w:eastAsia="en-US"/>
        </w:rPr>
      </w:pPr>
    </w:p>
    <w:p w:rsidR="00BE38EA" w:rsidRDefault="00D735A0" w:rsidP="00BE38EA">
      <w:pPr>
        <w:spacing w:line="240" w:lineRule="exact"/>
        <w:ind w:firstLine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Прокурор</w:t>
      </w:r>
      <w:r w:rsidR="00BE38EA">
        <w:rPr>
          <w:rFonts w:eastAsiaTheme="minorHAnsi"/>
          <w:szCs w:val="28"/>
          <w:lang w:eastAsia="en-US"/>
        </w:rPr>
        <w:t xml:space="preserve"> района</w:t>
      </w:r>
    </w:p>
    <w:p w:rsidR="00BE38EA" w:rsidRDefault="00BE38EA" w:rsidP="00BE38EA">
      <w:pPr>
        <w:spacing w:line="240" w:lineRule="exact"/>
        <w:ind w:firstLine="0"/>
        <w:jc w:val="both"/>
        <w:rPr>
          <w:rFonts w:eastAsiaTheme="minorHAnsi"/>
          <w:szCs w:val="28"/>
          <w:lang w:eastAsia="en-US"/>
        </w:rPr>
      </w:pPr>
    </w:p>
    <w:p w:rsidR="00BE38EA" w:rsidRDefault="00D735A0" w:rsidP="00BE38EA">
      <w:pPr>
        <w:spacing w:line="240" w:lineRule="exact"/>
        <w:ind w:right="-143" w:firstLine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старший </w:t>
      </w:r>
      <w:r w:rsidR="00BE38EA">
        <w:rPr>
          <w:rFonts w:eastAsiaTheme="minorHAnsi"/>
          <w:szCs w:val="28"/>
          <w:lang w:eastAsia="en-US"/>
        </w:rPr>
        <w:t xml:space="preserve">советник юстиции </w:t>
      </w:r>
      <w:r w:rsidR="00BE38EA">
        <w:rPr>
          <w:rFonts w:eastAsiaTheme="minorHAnsi"/>
          <w:szCs w:val="28"/>
          <w:lang w:eastAsia="en-US"/>
        </w:rPr>
        <w:tab/>
      </w:r>
      <w:r w:rsidR="00BE38EA">
        <w:rPr>
          <w:rFonts w:eastAsiaTheme="minorHAnsi"/>
          <w:szCs w:val="28"/>
          <w:lang w:eastAsia="en-US"/>
        </w:rPr>
        <w:tab/>
      </w:r>
      <w:r w:rsidR="00BE38EA">
        <w:rPr>
          <w:rFonts w:eastAsiaTheme="minorHAnsi"/>
          <w:szCs w:val="28"/>
          <w:lang w:eastAsia="en-US"/>
        </w:rPr>
        <w:tab/>
      </w:r>
      <w:r w:rsidR="00BE38EA">
        <w:rPr>
          <w:rFonts w:eastAsiaTheme="minorHAnsi"/>
          <w:szCs w:val="28"/>
          <w:lang w:eastAsia="en-US"/>
        </w:rPr>
        <w:tab/>
      </w:r>
      <w:r w:rsidR="00BE38EA">
        <w:rPr>
          <w:rFonts w:eastAsiaTheme="minorHAnsi"/>
          <w:szCs w:val="28"/>
          <w:lang w:eastAsia="en-US"/>
        </w:rPr>
        <w:tab/>
      </w:r>
      <w:r w:rsidR="00BE38EA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 xml:space="preserve">            С.В. Макеев</w:t>
      </w:r>
    </w:p>
    <w:p w:rsidR="00BE38EA" w:rsidRDefault="00BE38EA" w:rsidP="00BE38EA">
      <w:pPr>
        <w:spacing w:line="240" w:lineRule="exact"/>
        <w:ind w:right="-143"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spacing w:line="240" w:lineRule="exact"/>
        <w:ind w:right="-143"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spacing w:line="240" w:lineRule="exact"/>
        <w:ind w:right="-143"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spacing w:line="240" w:lineRule="exact"/>
        <w:ind w:right="-143"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spacing w:line="240" w:lineRule="exact"/>
        <w:ind w:right="-143"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spacing w:line="240" w:lineRule="exact"/>
        <w:ind w:right="-143" w:firstLine="0"/>
        <w:jc w:val="both"/>
        <w:rPr>
          <w:rFonts w:cs="Times New Roman"/>
          <w:szCs w:val="28"/>
        </w:rPr>
      </w:pPr>
    </w:p>
    <w:p w:rsidR="00BE38EA" w:rsidRDefault="00BE38EA" w:rsidP="00BE38EA">
      <w:pPr>
        <w:spacing w:line="240" w:lineRule="exact"/>
        <w:ind w:right="-143" w:firstLine="0"/>
        <w:jc w:val="both"/>
        <w:rPr>
          <w:rFonts w:cs="Times New Roman"/>
          <w:szCs w:val="28"/>
        </w:rPr>
      </w:pPr>
    </w:p>
    <w:p w:rsidR="00BE38EA" w:rsidRDefault="00BE38EA" w:rsidP="00BE38EA">
      <w:pPr>
        <w:spacing w:line="240" w:lineRule="exact"/>
        <w:ind w:right="-143"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spacing w:line="240" w:lineRule="exact"/>
        <w:ind w:right="-143"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ind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ind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ind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ind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ind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ind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ind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ind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ind w:firstLine="0"/>
        <w:jc w:val="both"/>
        <w:rPr>
          <w:rFonts w:eastAsiaTheme="minorHAnsi"/>
          <w:szCs w:val="28"/>
          <w:lang w:eastAsia="en-US"/>
        </w:rPr>
      </w:pPr>
    </w:p>
    <w:p w:rsidR="00BE38EA" w:rsidRDefault="00BE38EA" w:rsidP="00BE38EA">
      <w:pPr>
        <w:spacing w:after="160"/>
        <w:ind w:firstLine="0"/>
        <w:jc w:val="both"/>
        <w:rPr>
          <w:rFonts w:eastAsiaTheme="minorHAnsi" w:cs="Times New Roman"/>
          <w:sz w:val="20"/>
          <w:szCs w:val="28"/>
          <w:lang w:eastAsia="en-US"/>
        </w:rPr>
      </w:pPr>
    </w:p>
    <w:p w:rsidR="00BE38EA" w:rsidRDefault="00BE38EA" w:rsidP="00BE38EA">
      <w:pPr>
        <w:spacing w:after="160"/>
        <w:ind w:firstLine="0"/>
        <w:jc w:val="both"/>
        <w:rPr>
          <w:rFonts w:eastAsiaTheme="minorHAnsi" w:cs="Times New Roman"/>
          <w:sz w:val="20"/>
          <w:szCs w:val="28"/>
          <w:lang w:eastAsia="en-US"/>
        </w:rPr>
      </w:pPr>
    </w:p>
    <w:p w:rsidR="00BE38EA" w:rsidRDefault="00BE38EA" w:rsidP="00BE38EA">
      <w:pPr>
        <w:spacing w:after="160"/>
        <w:ind w:firstLine="0"/>
        <w:jc w:val="both"/>
        <w:rPr>
          <w:rFonts w:eastAsiaTheme="minorHAnsi" w:cs="Times New Roman"/>
          <w:sz w:val="20"/>
          <w:szCs w:val="28"/>
          <w:lang w:eastAsia="en-US"/>
        </w:rPr>
      </w:pPr>
    </w:p>
    <w:p w:rsidR="00BE38EA" w:rsidRDefault="00BE38EA" w:rsidP="00BE38EA">
      <w:pPr>
        <w:spacing w:after="160"/>
        <w:ind w:firstLine="0"/>
        <w:jc w:val="both"/>
        <w:rPr>
          <w:rFonts w:eastAsiaTheme="minorHAnsi" w:cs="Times New Roman"/>
          <w:sz w:val="20"/>
          <w:szCs w:val="28"/>
          <w:lang w:eastAsia="en-US"/>
        </w:rPr>
      </w:pPr>
    </w:p>
    <w:p w:rsidR="00BE38EA" w:rsidRDefault="00BE38EA" w:rsidP="00BE38EA">
      <w:pPr>
        <w:spacing w:after="160"/>
        <w:ind w:firstLine="0"/>
        <w:jc w:val="both"/>
        <w:rPr>
          <w:rFonts w:eastAsiaTheme="minorHAnsi" w:cs="Times New Roman"/>
          <w:sz w:val="20"/>
          <w:szCs w:val="28"/>
          <w:lang w:eastAsia="en-US"/>
        </w:rPr>
      </w:pPr>
    </w:p>
    <w:p w:rsidR="00BE38EA" w:rsidRDefault="00BE38EA" w:rsidP="00BE38EA">
      <w:pPr>
        <w:spacing w:after="160"/>
        <w:ind w:firstLine="0"/>
        <w:jc w:val="both"/>
        <w:rPr>
          <w:rFonts w:eastAsiaTheme="minorHAnsi" w:cs="Times New Roman"/>
          <w:sz w:val="20"/>
          <w:szCs w:val="28"/>
          <w:lang w:eastAsia="en-US"/>
        </w:rPr>
      </w:pPr>
    </w:p>
    <w:p w:rsidR="00BE38EA" w:rsidRDefault="00BE38EA" w:rsidP="00BE38EA">
      <w:pPr>
        <w:ind w:firstLine="708"/>
        <w:jc w:val="both"/>
        <w:rPr>
          <w:rFonts w:eastAsia="Calibri" w:cs="Times New Roman"/>
          <w:b/>
          <w:szCs w:val="20"/>
          <w:lang w:eastAsia="en-US"/>
        </w:rPr>
      </w:pPr>
      <w:r>
        <w:rPr>
          <w:rFonts w:eastAsia="Calibri" w:cs="Times New Roman"/>
          <w:b/>
          <w:szCs w:val="20"/>
          <w:lang w:eastAsia="en-US"/>
        </w:rPr>
        <w:lastRenderedPageBreak/>
        <w:t>Прокуратура разъясняет: «</w:t>
      </w:r>
      <w:r w:rsidRPr="00BE38EA">
        <w:rPr>
          <w:rFonts w:eastAsia="Calibri" w:cs="Times New Roman"/>
          <w:b/>
          <w:szCs w:val="20"/>
          <w:lang w:eastAsia="en-US"/>
        </w:rPr>
        <w:t xml:space="preserve">Антикризисные меры - 2022. Экономическая поддержка бизнеса в </w:t>
      </w:r>
      <w:r>
        <w:rPr>
          <w:rFonts w:eastAsia="Calibri" w:cs="Times New Roman"/>
          <w:b/>
          <w:szCs w:val="20"/>
          <w:lang w:eastAsia="en-US"/>
        </w:rPr>
        <w:t>Иркутской области»</w:t>
      </w:r>
    </w:p>
    <w:p w:rsidR="00BE38EA" w:rsidRDefault="00BE38EA" w:rsidP="00BE38EA">
      <w:pPr>
        <w:ind w:firstLine="708"/>
        <w:jc w:val="both"/>
        <w:rPr>
          <w:rFonts w:eastAsia="Calibri" w:cs="Times New Roman"/>
          <w:b/>
          <w:szCs w:val="20"/>
          <w:lang w:eastAsia="en-US"/>
        </w:rPr>
      </w:pPr>
    </w:p>
    <w:p w:rsidR="00BE38EA" w:rsidRPr="007547D5" w:rsidRDefault="00BE38EA" w:rsidP="007547D5">
      <w:pPr>
        <w:ind w:firstLine="539"/>
        <w:contextualSpacing w:val="0"/>
        <w:jc w:val="both"/>
        <w:rPr>
          <w:rFonts w:eastAsia="Times New Roman" w:cs="Times New Roman"/>
          <w:szCs w:val="28"/>
        </w:rPr>
      </w:pPr>
      <w:r w:rsidRPr="007547D5">
        <w:rPr>
          <w:rFonts w:eastAsia="Times New Roman" w:cs="Times New Roman"/>
          <w:szCs w:val="28"/>
        </w:rPr>
        <w:t xml:space="preserve">Указом Президента РФ от 16.03.2022 №121 в связи с введением в отношении РФ, ее граждан либо юридических лиц политических, экономических, иных санкций и (или) прекращением деятельности работодателей высшим должностным лицам субъектов РФ предписано с учетом географических особенностей соответствующих территорий принять исчерпывающие меры по обеспечению социально-экономической стабильности. </w:t>
      </w:r>
    </w:p>
    <w:p w:rsidR="00BE38EA" w:rsidRPr="007547D5" w:rsidRDefault="00BE38EA" w:rsidP="007547D5">
      <w:pPr>
        <w:ind w:firstLine="539"/>
        <w:contextualSpacing w:val="0"/>
        <w:jc w:val="both"/>
        <w:rPr>
          <w:rFonts w:eastAsia="Times New Roman" w:cs="Times New Roman"/>
          <w:szCs w:val="28"/>
        </w:rPr>
      </w:pPr>
      <w:r w:rsidRPr="007547D5">
        <w:rPr>
          <w:rFonts w:eastAsia="Times New Roman" w:cs="Times New Roman"/>
          <w:szCs w:val="28"/>
        </w:rPr>
        <w:t xml:space="preserve">В соответствии с пунктом 4 статьи 4 НК РФ высшие исполнительные органы государственной власти субъектов РФ вправе в 2022 году издавать нормативные правовые акты, предусматривающие в период с 01.01.2022 по 31.12.2022 продление сроков уплаты региональных и местных налогов, а также налогов, предусмотренных специальными налоговыми режимами ЕСХН, УСН и ПСН. В соответствии с частью 2 статьи 15 Федерального закона от 08.03.2022 N 46-ФЗ в период по 31.12.2022 решением высшего исполнительного органа государственной власти субъекта РФ в дополнение к случаям, предусмотренным частью 1 статьи 93 Федерального закона от 05.04.2013 N 44-ФЗ, могут быть установлены иные случаи осуществления закупок товаров, работ, услуг для государственных и (или) муниципальных нужд у единственного поставщика (подрядчика, исполнителя) в целях обеспечения нужд соответствующего субъекта РФ и муниципальных нужд муниципальных образований, находящихся на его территории, а также определен порядок осуществления закупок в таких случаях. </w:t>
      </w:r>
    </w:p>
    <w:p w:rsidR="00BE38EA" w:rsidRPr="007547D5" w:rsidRDefault="00BE38EA" w:rsidP="007547D5">
      <w:pPr>
        <w:ind w:firstLine="539"/>
        <w:contextualSpacing w:val="0"/>
        <w:jc w:val="both"/>
        <w:rPr>
          <w:rFonts w:eastAsia="Times New Roman" w:cs="Times New Roman"/>
          <w:szCs w:val="28"/>
        </w:rPr>
      </w:pPr>
      <w:r w:rsidRPr="007547D5">
        <w:rPr>
          <w:rFonts w:eastAsia="Calibri" w:cs="Times New Roman"/>
          <w:szCs w:val="28"/>
          <w:lang w:eastAsia="en-US"/>
        </w:rPr>
        <w:t xml:space="preserve">Так, согласно положениям, </w:t>
      </w:r>
      <w:r w:rsidRPr="007547D5">
        <w:rPr>
          <w:rFonts w:eastAsia="Times New Roman" w:cs="Times New Roman"/>
          <w:szCs w:val="28"/>
        </w:rPr>
        <w:t xml:space="preserve">Постановления Правительства Иркутской области от 28.03.2022 №225-пп, в 2022 г. предоставляются субсидии работодателям -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 </w:t>
      </w:r>
    </w:p>
    <w:p w:rsidR="00BE38EA" w:rsidRPr="007547D5" w:rsidRDefault="00BE38EA" w:rsidP="007547D5">
      <w:pPr>
        <w:ind w:firstLine="539"/>
        <w:contextualSpacing w:val="0"/>
        <w:jc w:val="both"/>
        <w:rPr>
          <w:rFonts w:eastAsia="Times New Roman" w:cs="Times New Roman"/>
          <w:szCs w:val="28"/>
        </w:rPr>
      </w:pPr>
      <w:r w:rsidRPr="007547D5">
        <w:rPr>
          <w:rFonts w:eastAsia="Times New Roman" w:cs="Times New Roman"/>
          <w:szCs w:val="28"/>
        </w:rPr>
        <w:t>Предоставляются субсидии работодателям -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 на частичную оплату труда и материально-техническое оснащение при организации временного трудоустройства работников, находящихся под риском увольнения (Постановление Правительства Иркутской</w:t>
      </w:r>
      <w:r w:rsidR="007547D5">
        <w:rPr>
          <w:rFonts w:eastAsia="Times New Roman" w:cs="Times New Roman"/>
          <w:szCs w:val="28"/>
        </w:rPr>
        <w:t xml:space="preserve"> области от 28.03.2022 №</w:t>
      </w:r>
      <w:r w:rsidRPr="007547D5">
        <w:rPr>
          <w:rFonts w:eastAsia="Times New Roman" w:cs="Times New Roman"/>
          <w:szCs w:val="28"/>
        </w:rPr>
        <w:t>224-пп).</w:t>
      </w:r>
    </w:p>
    <w:p w:rsidR="007547D5" w:rsidRPr="007547D5" w:rsidRDefault="00BD76FB" w:rsidP="007547D5">
      <w:pPr>
        <w:ind w:firstLine="539"/>
        <w:contextualSpacing w:val="0"/>
        <w:jc w:val="both"/>
        <w:rPr>
          <w:rFonts w:eastAsia="Times New Roman" w:cs="Times New Roman"/>
          <w:szCs w:val="28"/>
        </w:rPr>
      </w:pPr>
      <w:r w:rsidRPr="007547D5">
        <w:rPr>
          <w:rFonts w:eastAsia="Times New Roman" w:cs="Times New Roman"/>
          <w:szCs w:val="28"/>
        </w:rPr>
        <w:t xml:space="preserve">Предоставляются субсидии промышленным предприятиям - юридическим лицам (за исключением государственных (муниципальных) учреждений), индивидуальным предпринимателям на финансовое обеспечение затрат на профессиональное обучение и дополнительное профессиональное образование работников, находящихся под риском </w:t>
      </w:r>
      <w:r w:rsidRPr="007547D5">
        <w:rPr>
          <w:rFonts w:eastAsia="Times New Roman" w:cs="Times New Roman"/>
          <w:szCs w:val="28"/>
        </w:rPr>
        <w:lastRenderedPageBreak/>
        <w:t xml:space="preserve">увольнения </w:t>
      </w:r>
      <w:r w:rsidR="007547D5" w:rsidRPr="007547D5">
        <w:rPr>
          <w:rFonts w:eastAsia="Times New Roman" w:cs="Times New Roman"/>
          <w:szCs w:val="28"/>
        </w:rPr>
        <w:t>(Постановление Правительства Иркутской области от 28.03.2022 №226-пп).</w:t>
      </w:r>
    </w:p>
    <w:p w:rsidR="007547D5" w:rsidRPr="007547D5" w:rsidRDefault="007547D5" w:rsidP="007547D5">
      <w:pPr>
        <w:ind w:firstLine="539"/>
        <w:contextualSpacing w:val="0"/>
        <w:jc w:val="both"/>
        <w:rPr>
          <w:rFonts w:eastAsia="Times New Roman" w:cs="Times New Roman"/>
          <w:szCs w:val="28"/>
        </w:rPr>
      </w:pPr>
      <w:r w:rsidRPr="007547D5">
        <w:rPr>
          <w:rFonts w:eastAsia="Times New Roman" w:cs="Times New Roman"/>
          <w:szCs w:val="28"/>
        </w:rPr>
        <w:t xml:space="preserve">Согласно положениям, Постановления Правительства Иркутской области от 12.10.2021 №738-пп,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для обеспечения нужд области, допускается изменение существенных условий контракта при условии, что </w:t>
      </w:r>
      <w:r>
        <w:rPr>
          <w:rFonts w:eastAsia="Times New Roman" w:cs="Times New Roman"/>
          <w:szCs w:val="28"/>
        </w:rPr>
        <w:t xml:space="preserve">контракт заключен до 31.12.2022. </w:t>
      </w:r>
    </w:p>
    <w:p w:rsidR="007547D5" w:rsidRPr="007547D5" w:rsidRDefault="007547D5" w:rsidP="007547D5">
      <w:pPr>
        <w:ind w:firstLine="539"/>
        <w:contextualSpacing w:val="0"/>
        <w:jc w:val="both"/>
        <w:rPr>
          <w:rFonts w:eastAsia="Times New Roman" w:cs="Times New Roman"/>
          <w:szCs w:val="28"/>
        </w:rPr>
      </w:pPr>
      <w:r w:rsidRPr="007547D5">
        <w:rPr>
          <w:rFonts w:eastAsia="Times New Roman" w:cs="Times New Roman"/>
          <w:szCs w:val="28"/>
        </w:rPr>
        <w:t xml:space="preserve">На основании положений Постановления Правительства Иркутской области от 18.03.2022 №199-пп, по 31.12.2022 в дополнение к установленным случаям заказчик вправе осуществить закупку товаров, работ, услуг для обеспечения соответственно государственных и (или) муниципальных нужд у единственного поставщика (подрядчика, исполнителя): </w:t>
      </w:r>
    </w:p>
    <w:p w:rsidR="007547D5" w:rsidRPr="007547D5" w:rsidRDefault="007547D5" w:rsidP="007547D5">
      <w:pPr>
        <w:ind w:firstLine="539"/>
        <w:contextualSpacing w:val="0"/>
        <w:jc w:val="both"/>
        <w:rPr>
          <w:rFonts w:eastAsia="Times New Roman" w:cs="Times New Roman"/>
          <w:szCs w:val="28"/>
        </w:rPr>
      </w:pPr>
      <w:r w:rsidRPr="007547D5">
        <w:rPr>
          <w:rFonts w:eastAsia="Times New Roman" w:cs="Times New Roman"/>
          <w:szCs w:val="28"/>
        </w:rPr>
        <w:t xml:space="preserve">- при наличии протокола комиссии по проверке обоснованности закупок товаров, работ, услуг, осуществляемых заказчиками в области, содержащего решение о согласовании конкретной закупки товаров, работ, услуг для обеспечения соответственно государственных и (или) муниципальных нужд на основании представленного заказчиком обоснования наличия причинно-следственной связи между обстоятельствами осуществления закупки для обеспечения государственных и (или) муниципальных нужд в области и экономической ситуацией, характеризующейся недружественными действиями иностранных государств и международных организаций, а также экономического и (или) технологического обоснования нецелесообразности (невозможности) осуществления закупки с использованием конкурентных способов определения поставщика (подрядчика, исполнителя); </w:t>
      </w:r>
    </w:p>
    <w:p w:rsidR="007547D5" w:rsidRPr="007547D5" w:rsidRDefault="007547D5" w:rsidP="007547D5">
      <w:pPr>
        <w:ind w:firstLine="539"/>
        <w:contextualSpacing w:val="0"/>
        <w:jc w:val="both"/>
        <w:rPr>
          <w:rFonts w:eastAsia="Times New Roman" w:cs="Times New Roman"/>
          <w:szCs w:val="28"/>
        </w:rPr>
      </w:pPr>
      <w:r w:rsidRPr="007547D5">
        <w:rPr>
          <w:rFonts w:eastAsia="Times New Roman" w:cs="Times New Roman"/>
          <w:szCs w:val="28"/>
        </w:rPr>
        <w:t xml:space="preserve">- в случае признания конкурентной закупки несостоявшейся, когда по окончании срока подачи заявок на участие в закупке не подано ни одной заявки на участие в закупке либо подана только одна заявка на участие в закупке и такая заявка отклонена, на условиях, предусмотренных извещением об осуществлении такой закупки. При этом заказчик вправе увеличить цену контракта не более чем на 20% от начальной (максимальной) цены контракта такой закупки; </w:t>
      </w:r>
    </w:p>
    <w:p w:rsidR="007547D5" w:rsidRPr="007547D5" w:rsidRDefault="007547D5" w:rsidP="007547D5">
      <w:pPr>
        <w:ind w:firstLine="539"/>
        <w:contextualSpacing w:val="0"/>
        <w:jc w:val="both"/>
        <w:rPr>
          <w:rFonts w:eastAsia="Times New Roman" w:cs="Times New Roman"/>
          <w:szCs w:val="28"/>
        </w:rPr>
      </w:pPr>
      <w:r w:rsidRPr="007547D5">
        <w:rPr>
          <w:rFonts w:eastAsia="Times New Roman" w:cs="Times New Roman"/>
          <w:szCs w:val="28"/>
        </w:rPr>
        <w:t xml:space="preserve">- в случае заключения контрактов в электронном виде посредством электронных магазинов с субъектами малого предпринимательства, если цена контракта не превышает 5 млн руб., и с </w:t>
      </w:r>
      <w:proofErr w:type="spellStart"/>
      <w:r w:rsidRPr="007547D5">
        <w:rPr>
          <w:rFonts w:eastAsia="Times New Roman" w:cs="Times New Roman"/>
          <w:szCs w:val="28"/>
        </w:rPr>
        <w:t>самозанятыми</w:t>
      </w:r>
      <w:proofErr w:type="spellEnd"/>
      <w:r w:rsidRPr="007547D5">
        <w:rPr>
          <w:rFonts w:eastAsia="Times New Roman" w:cs="Times New Roman"/>
          <w:szCs w:val="28"/>
        </w:rPr>
        <w:t xml:space="preserve"> гражданами, если цена контракта не превышает 2 млн руб. </w:t>
      </w:r>
    </w:p>
    <w:p w:rsidR="00BE38EA" w:rsidRDefault="00BE38EA" w:rsidP="007547D5">
      <w:pPr>
        <w:ind w:firstLine="0"/>
        <w:jc w:val="both"/>
        <w:rPr>
          <w:rFonts w:eastAsia="Calibri" w:cs="Times New Roman"/>
          <w:b/>
          <w:szCs w:val="20"/>
          <w:lang w:eastAsia="en-US"/>
        </w:rPr>
      </w:pPr>
    </w:p>
    <w:p w:rsidR="00BE38EA" w:rsidRDefault="00BE38EA" w:rsidP="00BE38EA">
      <w:pPr>
        <w:spacing w:line="240" w:lineRule="exact"/>
        <w:ind w:firstLine="0"/>
      </w:pPr>
    </w:p>
    <w:p w:rsidR="00BE38EA" w:rsidRDefault="00BE38EA" w:rsidP="00BE38EA">
      <w:pPr>
        <w:spacing w:line="240" w:lineRule="exact"/>
        <w:ind w:firstLine="0"/>
      </w:pPr>
      <w:r>
        <w:t xml:space="preserve">Помощник прокурора района </w:t>
      </w:r>
      <w:r>
        <w:tab/>
      </w:r>
      <w:r>
        <w:tab/>
      </w:r>
      <w:r>
        <w:tab/>
      </w:r>
      <w:r>
        <w:tab/>
      </w:r>
      <w:r>
        <w:tab/>
        <w:t xml:space="preserve">       К.И. Воронина </w:t>
      </w:r>
    </w:p>
    <w:p w:rsidR="00BE38EA" w:rsidRDefault="00BE38EA" w:rsidP="00BE38EA">
      <w:pPr>
        <w:spacing w:line="240" w:lineRule="exact"/>
        <w:ind w:firstLine="0"/>
      </w:pPr>
    </w:p>
    <w:p w:rsidR="00BE38EA" w:rsidRDefault="00BE38EA" w:rsidP="00BE38EA">
      <w:pPr>
        <w:spacing w:line="240" w:lineRule="exact"/>
        <w:ind w:firstLine="0"/>
      </w:pPr>
      <w:r>
        <w:t>Согласовано</w:t>
      </w:r>
    </w:p>
    <w:p w:rsidR="00BE38EA" w:rsidRDefault="00D735A0" w:rsidP="00BE38EA">
      <w:pPr>
        <w:spacing w:line="240" w:lineRule="exact"/>
        <w:ind w:firstLine="0"/>
      </w:pPr>
      <w:r>
        <w:t>Прокурор</w:t>
      </w:r>
      <w:r w:rsidR="00BE38EA">
        <w:t xml:space="preserve"> района </w:t>
      </w:r>
    </w:p>
    <w:p w:rsidR="00BE38EA" w:rsidRDefault="00BE38EA" w:rsidP="00BE38EA">
      <w:pPr>
        <w:spacing w:line="240" w:lineRule="exact"/>
        <w:ind w:firstLine="0"/>
      </w:pPr>
    </w:p>
    <w:p w:rsidR="00BE38EA" w:rsidRDefault="00D735A0" w:rsidP="00BE38EA">
      <w:pPr>
        <w:spacing w:line="240" w:lineRule="exact"/>
        <w:ind w:firstLine="0"/>
      </w:pPr>
      <w:r>
        <w:t xml:space="preserve">старший </w:t>
      </w:r>
      <w:r w:rsidR="00BE38EA">
        <w:t>советник юст</w:t>
      </w:r>
      <w:r>
        <w:t>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С.В. </w:t>
      </w:r>
      <w:bookmarkStart w:id="0" w:name="_GoBack"/>
      <w:bookmarkEnd w:id="0"/>
      <w:r>
        <w:t>Макеев</w:t>
      </w:r>
    </w:p>
    <w:p w:rsidR="00EB28C8" w:rsidRDefault="00EB28C8"/>
    <w:sectPr w:rsidR="00EB28C8" w:rsidSect="00B2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0474"/>
    <w:rsid w:val="002B21EE"/>
    <w:rsid w:val="005A0474"/>
    <w:rsid w:val="007547D5"/>
    <w:rsid w:val="00B22348"/>
    <w:rsid w:val="00B42B88"/>
    <w:rsid w:val="00BD76FB"/>
    <w:rsid w:val="00BE38EA"/>
    <w:rsid w:val="00D735A0"/>
    <w:rsid w:val="00EB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EA"/>
    <w:pPr>
      <w:spacing w:after="0" w:line="240" w:lineRule="auto"/>
      <w:ind w:firstLine="709"/>
      <w:contextualSpacing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5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5A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Ксения Игоревна</dc:creator>
  <cp:keywords/>
  <dc:description/>
  <cp:lastModifiedBy>Admin</cp:lastModifiedBy>
  <cp:revision>8</cp:revision>
  <cp:lastPrinted>2022-06-22T02:17:00Z</cp:lastPrinted>
  <dcterms:created xsi:type="dcterms:W3CDTF">2022-06-19T07:52:00Z</dcterms:created>
  <dcterms:modified xsi:type="dcterms:W3CDTF">2022-06-27T04:03:00Z</dcterms:modified>
</cp:coreProperties>
</file>